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80" w:rsidRDefault="004B7880" w:rsidP="004B78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B7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Педагогическая поддержка игры в свете ФГОС </w:t>
      </w:r>
      <w:proofErr w:type="gramStart"/>
      <w:r w:rsidRPr="004B78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proofErr w:type="gramEnd"/>
    </w:p>
    <w:p w:rsidR="004B7880" w:rsidRPr="004B7880" w:rsidRDefault="004B7880" w:rsidP="004B7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полноценного развития ребенку-дошкольнику необходима самодеятельная, спонтанная игра, возникающая и развивающаяся по его собственной инициативе. Эта игра представляет собой ведущую деятельность ребенка.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как педагогическая форма (организованная воспитателем игра) способствует решению образовательных и воспитательных задач, но в отрыве от самодеятельной игры она не может обеспечить развитие: использование игры только как средства реализации Программы приведет к тому, что у детей не будут сформированы необходимые целевые ориентиры, такой ребенок, несмотря на активную работу с ним, окажется фактически не готовым к дальнейшему обучению в школе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Разумеется, требования ФГОС ДО не могут идти в противоречии с законами развития ребенка-дошкольника. Стандарт дошкольного образования в отличие от Стандарта начальной школы не зря называют «Стандартом условий». Основной посыл ФГОС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амплификация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(обогащение) условий развития дошкольников. Поэтому на третий раздел Стандарта – «Требования к условиям реализации основной образовательной программы дошкольного образования» педагогам следует обратить особое внимание.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этом разделе среди условий, необходимых для создания социальной ситуации развития детей, соответствующей специфике дошкольного возраста (п. 3.2.5), называются: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создание условий для свободного выбора детьми деятельности, участников совместной деятельности;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поддержка детской инициативы и самостоятельности в разных видах деятельности (игровой, исследовательской, проектной, познавательной и т.д.);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поддержка спонтанной игры детей, ее обогащение, обеспечение игрового времени и пространства.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важнейшая часть работы педагогов, от реализации которой зависит успешное развитие ребенка, а значит - успешное формирование целевых ориентиров, то есть фактическая реализация ФГОС ДО.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работа по освоению содержания образовательных областей должна опираться или включать в себя достаточный спектр игр, организуемых по инициативе взрослого, а также традиционных игр, имеющих содержание соответствующей направленности. Параллельно обязательно должна быть организована специальная работа по развитию и педагогической поддержке самодеятельной игры детей, которая и обеспечивает становление целевых ориентиров.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правильно прописать в содержании Основной образовательной программы дошкольного образования и организовать эту работу? Распределение разных видов игр по видам деятельности в течение дня может быть организовано следующим образом.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Непосредственно-образовательная деятельность будет включать в себя разнообразные дидактические игры в соответствии с содержанием образовательной работы по соответствующим областям.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Образовательная деятельность в режиме дня предполагает организацию досуговых, подвижных, театрализованных игр, игр с правилами, а также организацию совместных с педагогом сюжетных игр, способствующих обогащению игрового опыта детей. Здесь воспитатель выступает как игровой партнер, носитель игровой культуры, которую передает детям в процессе совместной деятельности.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Свободная деятельность сопровождается организацией педагогической поддержки самодеятельных детских игр (сюжетно-ролевых, режиссерских, игр-экспериментирований), а также организуемых по инициативе самих детей игр с правилами, п</w:t>
      </w:r>
      <w:r w:rsidR="007C6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одвижных, досуговых, народных. В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 поощряет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 Так создаются условия для формирования возрастных новообразований.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Последний пункт вызывает наибольшие трудности у воспитателей. Содержание образовательной работы (и соответствующих игр) подчиняется Программе, и здесь, как правило, все понятно. А как правильно выстраивать педагогическую поддержку игры?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качестве основного метода мы рекомендуем Комплексный метод педагогической поддержки самодеятельных игр. А что касается содержания работы по развитию и педагогической поддержке самодеятельной игры, то она организуется в соответствии с возрастом воспитанников: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Группа раннего возраста - приобщение детей к разным играм: предметным (в том числе с составными и динамическими игрушками), простейшим сюжетным, подвижным; перевод предметных действий в действия смысловые в контексте игровой ситуации. 2-я младшая группа - обогащение игрового опыта детей через совместные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игры (индивидуальные и малыми подгруппами), формирование и развитие игровых действий, простейшего игрового взаимодействия, понимания условности игровой ситуации.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Средняя группа – освоение и развитие ролевого поведения, поддержка игровых объединений детей, обогащение игрового взаимодействия, расширение тематической направленности сюжетных игр, обогащение игрового опыта детей через приобщение к играм с правилами, подвижным, досуговым, театрализованным, народным играм.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Старшая группа — обогащение игрового опыта по развитию и усложнению игрового сюжета, по организации предметного пространства собственной игры через совместные с воспитателем игры подгруппами;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и поддержка самодеятельной игры детей, приобщение детей к разным видам игр (подвижным, с правилами, досуговым, дидактическим, народным, интеллектуальным и др.)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Подготовительная группа – формирование и педагогическая поддержка детского коллектива как играющего детского сообщества, поддержка самостоятельности и инициативности при выборе и реализации детьми игр разных видов; поддержка перехода к играм-диалогам, играм-</w:t>
      </w:r>
      <w:proofErr w:type="spell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фантазированиям</w:t>
      </w:r>
      <w:proofErr w:type="spell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играм в самодельной предметной среде.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задачи направлены исключительно на становление и развитие самодеятельной игры детей, они не должны сопровождаться дополнительными дидактическими образовательными задачами, если играющие дети не принимают их или преобразуют в игре по-своему. Инициатива в таких играх остается за детьми. </w:t>
      </w:r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Отдельно хочется дать крайне важный совет для тех педагогов (особенно старших воспитателей и руководителей структурных подразделений), чьи детские сады входят в состав многофункциональных образовательных организаций. В Москве сейчас существует достаточное количество подобных учреждений, где отделения дошкольное и начальной школы расположены либо в одном здании, либо рядом, забор в забор.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детей младшей школы остается на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«продленке», и к моменту, когда дети дошкольного отделения выходят на вторую прогулку, школьники уже успевают сделать домашние задания или позаниматься в кружках, и тоже готовы к играм и развлечениям. </w:t>
      </w:r>
      <w:proofErr w:type="gramStart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Объединение детей в разновозрастной играющий коллектив позволило бы педагогам решить ряд важнейших задач развития детей, поскольку подобные игры имеют огромное значение не только для становления и развития игры дошкольников, но и для благоприятного эмоционального и личностного развития младших школьников, для которых игра становится уже не ведущей, но преобладающей деятельностью.</w:t>
      </w:r>
      <w:proofErr w:type="gramEnd"/>
      <w:r w:rsidRPr="004B7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Применение изложенных выше положений позволит, сохранив огромный развивающий потенциал детской игры, успешно реализовывать требования Стандарта, при этом адекватно используя возможности игры как педагогической формы.</w:t>
      </w:r>
    </w:p>
    <w:p w:rsidR="00D60BB5" w:rsidRPr="004B7880" w:rsidRDefault="004B7880" w:rsidP="004B7880">
      <w:pPr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4B7880">
        <w:rPr>
          <w:rStyle w:val="a3"/>
          <w:rFonts w:ascii="Times New Roman" w:hAnsi="Times New Roman" w:cs="Times New Roman"/>
          <w:color w:val="333333"/>
          <w:sz w:val="24"/>
          <w:szCs w:val="24"/>
        </w:rPr>
        <w:t>Е.В. Трифонова  (Московский институт развития образования)</w:t>
      </w:r>
    </w:p>
    <w:p w:rsidR="004B7880" w:rsidRPr="004B7880" w:rsidRDefault="004B7880" w:rsidP="004B7880">
      <w:pPr>
        <w:rPr>
          <w:rFonts w:ascii="Times New Roman" w:hAnsi="Times New Roman" w:cs="Times New Roman"/>
          <w:sz w:val="24"/>
          <w:szCs w:val="24"/>
        </w:rPr>
      </w:pPr>
      <w:r w:rsidRPr="004B7880">
        <w:rPr>
          <w:rStyle w:val="a3"/>
          <w:rFonts w:ascii="Times New Roman" w:hAnsi="Times New Roman" w:cs="Times New Roman"/>
          <w:color w:val="333333"/>
          <w:sz w:val="24"/>
          <w:szCs w:val="24"/>
        </w:rPr>
        <w:t>«Обруч» №3.2014.</w:t>
      </w:r>
    </w:p>
    <w:sectPr w:rsidR="004B7880" w:rsidRPr="004B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59"/>
    <w:rsid w:val="004B7880"/>
    <w:rsid w:val="007C6A81"/>
    <w:rsid w:val="00B10EA6"/>
    <w:rsid w:val="00D60BB5"/>
    <w:rsid w:val="00E62A59"/>
    <w:rsid w:val="00F4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2014-10-05T16:53:00Z</cp:lastPrinted>
  <dcterms:created xsi:type="dcterms:W3CDTF">2014-10-05T16:53:00Z</dcterms:created>
  <dcterms:modified xsi:type="dcterms:W3CDTF">2016-11-29T08:34:00Z</dcterms:modified>
</cp:coreProperties>
</file>